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BD72B" w14:textId="4597EA63" w:rsidR="00486D7B" w:rsidRDefault="00D60E76" w:rsidP="00D60E76">
      <w:pPr>
        <w:jc w:val="both"/>
      </w:pPr>
      <w:r w:rsidRPr="00D60E76">
        <w:t>Mestské služby Topoľčany, s.r.o.</w:t>
      </w:r>
      <w:r>
        <w:t xml:space="preserve">, </w:t>
      </w:r>
      <w:r w:rsidRPr="00D60E76">
        <w:t>Nám. Ľ.</w:t>
      </w:r>
      <w:r w:rsidR="00486D7B">
        <w:t xml:space="preserve"> </w:t>
      </w:r>
      <w:r w:rsidRPr="00D60E76">
        <w:t>Štúra 2357/2, Spoločenský dom, 95501 Topoľčany</w:t>
      </w:r>
      <w:r>
        <w:t xml:space="preserve"> (ďalej len „verejný obstarávateľ“) v súlade s § 25 zákona o verejnom obstarávaní vyhlasuje prípravné trhové konzultácie</w:t>
      </w:r>
      <w:r w:rsidR="00486D7B">
        <w:t xml:space="preserve"> na budúci predmet zákazky „</w:t>
      </w:r>
      <w:r w:rsidR="00486D7B" w:rsidRPr="002E7567">
        <w:rPr>
          <w:b/>
          <w:bCs/>
        </w:rPr>
        <w:t>Nové parkovacie automaty 2021</w:t>
      </w:r>
      <w:r w:rsidR="00486D7B">
        <w:t>“.</w:t>
      </w:r>
    </w:p>
    <w:p w14:paraId="7007B2DA" w14:textId="72653BB2" w:rsidR="002E7567" w:rsidRDefault="002E7567" w:rsidP="00D60E76">
      <w:pPr>
        <w:jc w:val="both"/>
      </w:pPr>
    </w:p>
    <w:p w14:paraId="54D43E7C" w14:textId="0F843545" w:rsidR="00D0403B" w:rsidRDefault="00D0403B" w:rsidP="00D0403B">
      <w:pPr>
        <w:jc w:val="both"/>
      </w:pPr>
      <w:r>
        <w:t xml:space="preserve">Opis súčasného stavu: Parkovacia politika v meste Topoľčany je v súčasnosti čiastočne realizovaná prostredníctvom výberu parkovného cez 6 ks parkovacích automatov typu </w:t>
      </w:r>
      <w:proofErr w:type="spellStart"/>
      <w:r>
        <w:t>Cale</w:t>
      </w:r>
      <w:proofErr w:type="spellEnd"/>
      <w:r>
        <w:t xml:space="preserve"> SE MP 104,r.výr.2005, 1 ks parkovacích automatov typu </w:t>
      </w:r>
      <w:proofErr w:type="spellStart"/>
      <w:r>
        <w:t>Cale</w:t>
      </w:r>
      <w:proofErr w:type="spellEnd"/>
      <w:r>
        <w:t xml:space="preserve"> SE MP 104,r.výr.2011 a 2 ks rampových systémov AS </w:t>
      </w:r>
      <w:proofErr w:type="spellStart"/>
      <w:r>
        <w:t>Parking</w:t>
      </w:r>
      <w:proofErr w:type="spellEnd"/>
      <w:r>
        <w:t xml:space="preserve"> Brno s.r.o. r.výr.2016. Parkovacie automaty poskytujú parkovacie lístky za úhradu, ktorá sa realizuje platbou mincami. Ďalšou možnosťou platby za parkovné je </w:t>
      </w:r>
      <w:proofErr w:type="spellStart"/>
      <w:r>
        <w:t>sms</w:t>
      </w:r>
      <w:proofErr w:type="spellEnd"/>
      <w:r>
        <w:t xml:space="preserve"> lístok. Táto služba je realizovaná prostredníctvom </w:t>
      </w:r>
      <w:proofErr w:type="spellStart"/>
      <w:r>
        <w:t>Mediatex</w:t>
      </w:r>
      <w:proofErr w:type="spellEnd"/>
      <w:r>
        <w:t xml:space="preserve"> s.r.o. </w:t>
      </w:r>
    </w:p>
    <w:p w14:paraId="690FBF86" w14:textId="1C336980" w:rsidR="00233C81" w:rsidRDefault="00233C81" w:rsidP="00D60E76">
      <w:pPr>
        <w:jc w:val="both"/>
      </w:pPr>
    </w:p>
    <w:p w14:paraId="7B63039A" w14:textId="6B456904" w:rsidR="00233C81" w:rsidRDefault="00233C81" w:rsidP="00233C81">
      <w:pPr>
        <w:jc w:val="both"/>
      </w:pPr>
      <w:r>
        <w:t>Mesto Topoľčany vydalo všeobecne záväzné nariadenie mesta č. 2/2021 o dočasnom parkovaní motorových vozidiel na vymedzenom území mesta Topoľčany, ktoré tvorí prílohu č. 2 tejto výzvy.</w:t>
      </w:r>
    </w:p>
    <w:p w14:paraId="53B206E3" w14:textId="77777777" w:rsidR="002E7567" w:rsidRDefault="002E7567" w:rsidP="00D60E76">
      <w:pPr>
        <w:jc w:val="both"/>
      </w:pPr>
    </w:p>
    <w:p w14:paraId="53296687" w14:textId="58D1AFA5" w:rsidR="002E7567" w:rsidRDefault="002E7567" w:rsidP="00D60E76">
      <w:pPr>
        <w:jc w:val="both"/>
      </w:pPr>
      <w:r>
        <w:t xml:space="preserve">Zámerom verejného obstarávateľa je výmena parkovacích automatov za nové, ktoré umožnia realizáciu parkovacej politiky mesta Topoľčany v budúcnosti. </w:t>
      </w:r>
    </w:p>
    <w:p w14:paraId="5838C466" w14:textId="77777777" w:rsidR="002E7567" w:rsidRDefault="002E7567" w:rsidP="00D60E76">
      <w:pPr>
        <w:jc w:val="both"/>
      </w:pPr>
    </w:p>
    <w:p w14:paraId="16BE96B7" w14:textId="39FBB037" w:rsidR="002E7567" w:rsidRDefault="002E7567" w:rsidP="00D60E76">
      <w:pPr>
        <w:jc w:val="both"/>
      </w:pPr>
      <w:r>
        <w:t xml:space="preserve">Predstavou verejného obstarávateľa je, aby nové parkovacie automaty boli na úrovni najmodernejších technológií a umožňovali platbu cez finančnú hotovosť, kreditné a debetné karty, služby typu </w:t>
      </w:r>
      <w:proofErr w:type="spellStart"/>
      <w:r>
        <w:t>pay</w:t>
      </w:r>
      <w:proofErr w:type="spellEnd"/>
      <w:r w:rsidR="00CC77D8">
        <w:t>-</w:t>
      </w:r>
      <w:r>
        <w:t>pal, platobné brány</w:t>
      </w:r>
      <w:r w:rsidR="00CC77D8">
        <w:t xml:space="preserve"> a pod.</w:t>
      </w:r>
      <w:r>
        <w:t>. Taktiež je v záujme verejného obstarávateľa, aby prostredníctvom parkovacích automatov bolo možné pružné menenie parkovacej politiky (vytváranie zón, dynamických časových úsekov a pod.).</w:t>
      </w:r>
      <w:r w:rsidR="00CC77D8">
        <w:t xml:space="preserve"> Výhodou sú ďalšie moderné riešenia, ktoré by nové parkovacie automaty vedeli zabezpečiť. </w:t>
      </w:r>
    </w:p>
    <w:p w14:paraId="6BABC48A" w14:textId="77777777" w:rsidR="002E7567" w:rsidRDefault="002E7567" w:rsidP="00D60E76">
      <w:pPr>
        <w:jc w:val="both"/>
      </w:pPr>
    </w:p>
    <w:p w14:paraId="6AF7E7E7" w14:textId="77777777" w:rsidR="002E7567" w:rsidRDefault="002E7567" w:rsidP="00D60E76">
      <w:pPr>
        <w:jc w:val="both"/>
      </w:pPr>
      <w:r>
        <w:t xml:space="preserve">Nakoľko verejný obstarávateľ nedisponuje informáciami z trhového a technologického prostredia obracia sa na hospodárske subjekty so žiadosťou o účasť na prípravných trhových konzultáciách. </w:t>
      </w:r>
    </w:p>
    <w:p w14:paraId="652CDC99" w14:textId="77777777" w:rsidR="002E7567" w:rsidRDefault="002E7567" w:rsidP="00D60E76">
      <w:pPr>
        <w:jc w:val="both"/>
      </w:pPr>
    </w:p>
    <w:p w14:paraId="234D47C4" w14:textId="77777777" w:rsidR="00F2247A" w:rsidRDefault="002E7567" w:rsidP="00D60E76">
      <w:pPr>
        <w:jc w:val="both"/>
      </w:pPr>
      <w:r>
        <w:t xml:space="preserve">Právna úprava </w:t>
      </w:r>
      <w:r w:rsidR="00F2247A">
        <w:t>prípravných trhových konzultácií je uvedená v § 25 zákona č. 343/2015 o verejnom obstarávaní a o zmene a doplnení niektorých zákonov v platnom znení (ďalej len „zákon o verejnom obstarávaní).</w:t>
      </w:r>
    </w:p>
    <w:p w14:paraId="7B889073" w14:textId="77777777" w:rsidR="00F2247A" w:rsidRDefault="00F2247A" w:rsidP="00D60E76">
      <w:pPr>
        <w:jc w:val="both"/>
      </w:pPr>
    </w:p>
    <w:p w14:paraId="30B00816" w14:textId="2F51600B" w:rsidR="002E7567" w:rsidRDefault="00F2247A" w:rsidP="00F2247A">
      <w:pPr>
        <w:jc w:val="both"/>
      </w:pPr>
      <w:r>
        <w:t>Podľa § 25 ods. 1 zákona o verejnom obstarávaní verejný obstarávateľ môže pred začatím postupu verejného obstarávania uskutočniť trhové konzultácie (ďalej len „TK“) na účely jeho prípravy a informovania hospodárskych subjektov o plánovanom postupe verejného obstarávania. Verejný obstarávateľ alebo obstarávateľ môže na tento účel najmä požiadať o radu alebo prijať radu od nezávislých odborníkov, nezávislých inštitúcií alebo od účastníkov trhu, ktorú možno použiť pri plánovaní alebo realizácii postupu verejného obstarávania, ak sa ňou nenaruší hospodárska súťaž, ani neporuší princíp nediskriminácie a princíp transparentnosti.</w:t>
      </w:r>
      <w:r w:rsidR="002E7567">
        <w:t xml:space="preserve"> </w:t>
      </w:r>
    </w:p>
    <w:p w14:paraId="1AAEAE3A" w14:textId="3A5EAD47" w:rsidR="00F2247A" w:rsidRDefault="00F2247A" w:rsidP="00F2247A">
      <w:pPr>
        <w:jc w:val="both"/>
      </w:pPr>
    </w:p>
    <w:p w14:paraId="5D2A5E33" w14:textId="700C8B90" w:rsidR="00F2247A" w:rsidRDefault="00F2247A" w:rsidP="00F2247A">
      <w:pPr>
        <w:jc w:val="both"/>
      </w:pPr>
      <w:r>
        <w:lastRenderedPageBreak/>
        <w:t>Cieľom TK nie je preferovanie k</w:t>
      </w:r>
      <w:r w:rsidRPr="00F2247A">
        <w:t>onkrétneho výrobcu, výrobn</w:t>
      </w:r>
      <w:r>
        <w:t>ého</w:t>
      </w:r>
      <w:r w:rsidRPr="00F2247A">
        <w:t xml:space="preserve"> postup</w:t>
      </w:r>
      <w:r>
        <w:t>u</w:t>
      </w:r>
      <w:r w:rsidRPr="00F2247A">
        <w:t>, obchodné</w:t>
      </w:r>
      <w:r>
        <w:t>ho</w:t>
      </w:r>
      <w:r w:rsidRPr="00F2247A">
        <w:t xml:space="preserve"> označeni</w:t>
      </w:r>
      <w:r>
        <w:t>a</w:t>
      </w:r>
      <w:r w:rsidRPr="00F2247A">
        <w:t>, patent</w:t>
      </w:r>
      <w:r>
        <w:t>u</w:t>
      </w:r>
      <w:r w:rsidRPr="00F2247A">
        <w:t>, typ</w:t>
      </w:r>
      <w:r>
        <w:t>u</w:t>
      </w:r>
      <w:r w:rsidRPr="00F2247A">
        <w:t>, oblas</w:t>
      </w:r>
      <w:r>
        <w:t>ti</w:t>
      </w:r>
      <w:r w:rsidRPr="00F2247A">
        <w:t xml:space="preserve"> alebo miest</w:t>
      </w:r>
      <w:r>
        <w:t>a</w:t>
      </w:r>
      <w:r w:rsidRPr="00F2247A">
        <w:t xml:space="preserve"> pôvodu alebo výroby,</w:t>
      </w:r>
      <w:r>
        <w:t xml:space="preserve"> ale stanovenie objektívnych parametrov a preskúmanie informácií z trhového prostredia. </w:t>
      </w:r>
    </w:p>
    <w:p w14:paraId="2C530DE6" w14:textId="0948EA54" w:rsidR="00F2247A" w:rsidRDefault="00F2247A" w:rsidP="00F2247A">
      <w:pPr>
        <w:jc w:val="both"/>
      </w:pPr>
    </w:p>
    <w:p w14:paraId="4D524DB7" w14:textId="4C570A77" w:rsidR="00F2247A" w:rsidRDefault="00F2247A" w:rsidP="00F2247A">
      <w:pPr>
        <w:jc w:val="both"/>
      </w:pPr>
      <w:r>
        <w:t>V nadväznosti na uvedené verejný obstarávateľ vyhlasuje tieto TK a pozýva hospodárske subjekty na účasť na TK.</w:t>
      </w:r>
    </w:p>
    <w:p w14:paraId="42394DFF" w14:textId="2B721684" w:rsidR="00F2247A" w:rsidRDefault="00F2247A" w:rsidP="00F2247A">
      <w:pPr>
        <w:jc w:val="both"/>
      </w:pPr>
    </w:p>
    <w:p w14:paraId="52D6887D" w14:textId="42D86317" w:rsidR="00F2247A" w:rsidRDefault="00F2247A" w:rsidP="00F2247A">
      <w:pPr>
        <w:jc w:val="both"/>
      </w:pPr>
      <w:r>
        <w:t xml:space="preserve">TK sa uskutočnia dňa </w:t>
      </w:r>
      <w:r w:rsidR="0083276E" w:rsidRPr="0083276E">
        <w:rPr>
          <w:b/>
          <w:bCs/>
        </w:rPr>
        <w:t>24.06.2021</w:t>
      </w:r>
      <w:r w:rsidR="00B8160B" w:rsidRPr="00B8160B">
        <w:rPr>
          <w:vertAlign w:val="superscript"/>
        </w:rPr>
        <w:t>1</w:t>
      </w:r>
      <w:r>
        <w:t xml:space="preserve"> v sídle verejného obstarávateľa</w:t>
      </w:r>
      <w:r w:rsidR="00B8160B" w:rsidRPr="00B8160B">
        <w:rPr>
          <w:vertAlign w:val="superscript"/>
        </w:rPr>
        <w:t>1</w:t>
      </w:r>
      <w:r>
        <w:t xml:space="preserve"> za účasti zástupcov verejného obstarávateľa a zástupcov hospodárskych subjektov, ktoré </w:t>
      </w:r>
      <w:r w:rsidRPr="0083276E">
        <w:t xml:space="preserve">v lehote do </w:t>
      </w:r>
      <w:r w:rsidR="0083276E" w:rsidRPr="0083276E">
        <w:rPr>
          <w:b/>
          <w:bCs/>
        </w:rPr>
        <w:t>18.06.</w:t>
      </w:r>
      <w:r w:rsidRPr="0083276E">
        <w:rPr>
          <w:b/>
          <w:bCs/>
        </w:rPr>
        <w:t>2021</w:t>
      </w:r>
      <w:r>
        <w:t xml:space="preserve"> vyplnia formulár o záujme zúčastniť sa TK. Formulár je uvedený v prílohe č. 1 tejto výzvy a obsahuje orientačné otázky</w:t>
      </w:r>
      <w:r w:rsidR="009617B9">
        <w:t>, ktoré budú podkladom pre rokovanie.</w:t>
      </w:r>
    </w:p>
    <w:p w14:paraId="76EA7EB3" w14:textId="1D0B8C6B" w:rsidR="001E3FE3" w:rsidRDefault="001E3FE3" w:rsidP="00F2247A">
      <w:pPr>
        <w:jc w:val="both"/>
      </w:pPr>
    </w:p>
    <w:p w14:paraId="5F16B438" w14:textId="3C78E4A5" w:rsidR="001E3FE3" w:rsidRDefault="001E3FE3" w:rsidP="00F2247A">
      <w:pPr>
        <w:jc w:val="both"/>
      </w:pPr>
      <w:r>
        <w:t xml:space="preserve">Počas TK bude vyhotovený zvukový záznam z rokovania, ktorý bude slúžiť na vyhotovenie zápisnice z TK. Túto zápisnicu následne podpíšu </w:t>
      </w:r>
      <w:r w:rsidR="00B8160B">
        <w:t xml:space="preserve">zástupcovia verejného obstarávateľa, ktorí sa zúčastnia TK a jej rovnopis zašlú účastníkom TK (ich podpis sa nevyžaduje). Následne bude zvukový záznam vymazaný. </w:t>
      </w:r>
    </w:p>
    <w:p w14:paraId="3BB88A5B" w14:textId="31A0A5CB" w:rsidR="00CC77D8" w:rsidRDefault="00CC77D8" w:rsidP="00F2247A">
      <w:pPr>
        <w:jc w:val="both"/>
      </w:pPr>
    </w:p>
    <w:p w14:paraId="7B052353" w14:textId="312D0B9C" w:rsidR="00CC77D8" w:rsidRDefault="00B8160B" w:rsidP="00F2247A">
      <w:pPr>
        <w:jc w:val="both"/>
        <w:rPr>
          <w:b/>
          <w:bCs/>
        </w:rPr>
      </w:pPr>
      <w:r>
        <w:rPr>
          <w:b/>
          <w:bCs/>
        </w:rPr>
        <w:br w:type="column"/>
      </w:r>
      <w:r w:rsidR="00CC77D8">
        <w:rPr>
          <w:b/>
          <w:bCs/>
        </w:rPr>
        <w:lastRenderedPageBreak/>
        <w:t>Príloha č. 1</w:t>
      </w:r>
    </w:p>
    <w:p w14:paraId="7AC395F4" w14:textId="3C5C9A04" w:rsidR="00CC77D8" w:rsidRDefault="00CC77D8" w:rsidP="00F2247A">
      <w:pPr>
        <w:jc w:val="both"/>
        <w:rPr>
          <w:b/>
          <w:bCs/>
        </w:rPr>
      </w:pPr>
    </w:p>
    <w:tbl>
      <w:tblPr>
        <w:tblStyle w:val="Mriekatabuky"/>
        <w:tblW w:w="0" w:type="auto"/>
        <w:tblLook w:val="04A0" w:firstRow="1" w:lastRow="0" w:firstColumn="1" w:lastColumn="0" w:noHBand="0" w:noVBand="1"/>
      </w:tblPr>
      <w:tblGrid>
        <w:gridCol w:w="3823"/>
        <w:gridCol w:w="5239"/>
      </w:tblGrid>
      <w:tr w:rsidR="00B8160B" w14:paraId="3DAC5B5C" w14:textId="77777777" w:rsidTr="00E12B0E">
        <w:tc>
          <w:tcPr>
            <w:tcW w:w="3823" w:type="dxa"/>
          </w:tcPr>
          <w:p w14:paraId="018FAD45" w14:textId="78848673" w:rsidR="00B8160B" w:rsidRDefault="00B8160B" w:rsidP="00F2247A">
            <w:pPr>
              <w:jc w:val="both"/>
              <w:rPr>
                <w:b/>
                <w:bCs/>
              </w:rPr>
            </w:pPr>
            <w:r>
              <w:rPr>
                <w:b/>
                <w:bCs/>
              </w:rPr>
              <w:t xml:space="preserve">Verejný obstarávateľ </w:t>
            </w:r>
          </w:p>
        </w:tc>
        <w:tc>
          <w:tcPr>
            <w:tcW w:w="5239" w:type="dxa"/>
          </w:tcPr>
          <w:p w14:paraId="7FF6E496" w14:textId="05C7A989" w:rsidR="00B8160B" w:rsidRDefault="00B8160B" w:rsidP="00F2247A">
            <w:pPr>
              <w:jc w:val="both"/>
            </w:pPr>
            <w:r w:rsidRPr="00D60E76">
              <w:t>Mestské služby Topoľčany, s.r.o.</w:t>
            </w:r>
          </w:p>
        </w:tc>
      </w:tr>
      <w:tr w:rsidR="00B8160B" w14:paraId="7DC61D89" w14:textId="77777777" w:rsidTr="00E12B0E">
        <w:tc>
          <w:tcPr>
            <w:tcW w:w="3823" w:type="dxa"/>
          </w:tcPr>
          <w:p w14:paraId="33CDC63C" w14:textId="33659B30" w:rsidR="00B8160B" w:rsidRDefault="00B8160B" w:rsidP="00F2247A">
            <w:pPr>
              <w:jc w:val="both"/>
              <w:rPr>
                <w:b/>
                <w:bCs/>
              </w:rPr>
            </w:pPr>
            <w:r>
              <w:rPr>
                <w:b/>
                <w:bCs/>
              </w:rPr>
              <w:t xml:space="preserve">Prípravné trhové konzultácie </w:t>
            </w:r>
          </w:p>
        </w:tc>
        <w:tc>
          <w:tcPr>
            <w:tcW w:w="5239" w:type="dxa"/>
          </w:tcPr>
          <w:p w14:paraId="783AAB2F" w14:textId="4CF8F20B" w:rsidR="00B8160B" w:rsidRPr="00D60E76" w:rsidRDefault="00B8160B" w:rsidP="00F2247A">
            <w:pPr>
              <w:jc w:val="both"/>
            </w:pPr>
            <w:r>
              <w:t>„</w:t>
            </w:r>
            <w:r w:rsidRPr="002E7567">
              <w:rPr>
                <w:b/>
                <w:bCs/>
              </w:rPr>
              <w:t>Nové parkovacie automaty 2021</w:t>
            </w:r>
            <w:r>
              <w:t>“</w:t>
            </w:r>
          </w:p>
        </w:tc>
      </w:tr>
      <w:tr w:rsidR="00B8160B" w14:paraId="295DF14F" w14:textId="77777777" w:rsidTr="00E12B0E">
        <w:tc>
          <w:tcPr>
            <w:tcW w:w="3823" w:type="dxa"/>
          </w:tcPr>
          <w:p w14:paraId="5EB000F6" w14:textId="22732305" w:rsidR="00B8160B" w:rsidRDefault="00B8160B" w:rsidP="00F2247A">
            <w:pPr>
              <w:jc w:val="both"/>
              <w:rPr>
                <w:b/>
                <w:bCs/>
              </w:rPr>
            </w:pPr>
            <w:r>
              <w:rPr>
                <w:b/>
                <w:bCs/>
              </w:rPr>
              <w:t>Dátum a čas konania TK</w:t>
            </w:r>
            <w:r>
              <w:rPr>
                <w:rStyle w:val="Odkaznapoznmkupodiarou"/>
                <w:b/>
                <w:bCs/>
              </w:rPr>
              <w:footnoteReference w:id="1"/>
            </w:r>
          </w:p>
        </w:tc>
        <w:tc>
          <w:tcPr>
            <w:tcW w:w="5239" w:type="dxa"/>
          </w:tcPr>
          <w:p w14:paraId="2121D10F" w14:textId="15F00155" w:rsidR="00B8160B" w:rsidRPr="0083276E" w:rsidRDefault="0083276E" w:rsidP="00F2247A">
            <w:pPr>
              <w:jc w:val="both"/>
              <w:rPr>
                <w:b/>
                <w:bCs/>
              </w:rPr>
            </w:pPr>
            <w:r w:rsidRPr="0083276E">
              <w:rPr>
                <w:b/>
                <w:bCs/>
              </w:rPr>
              <w:t>24.06.2021</w:t>
            </w:r>
          </w:p>
        </w:tc>
      </w:tr>
      <w:tr w:rsidR="00B8160B" w14:paraId="5ABAF65C" w14:textId="77777777" w:rsidTr="00E12B0E">
        <w:tc>
          <w:tcPr>
            <w:tcW w:w="3823" w:type="dxa"/>
          </w:tcPr>
          <w:p w14:paraId="765AB15C" w14:textId="27232BB8" w:rsidR="00B8160B" w:rsidRDefault="00B8160B" w:rsidP="00F2247A">
            <w:pPr>
              <w:jc w:val="both"/>
              <w:rPr>
                <w:b/>
                <w:bCs/>
              </w:rPr>
            </w:pPr>
            <w:r>
              <w:rPr>
                <w:b/>
                <w:bCs/>
              </w:rPr>
              <w:t>Miesto konania TK</w:t>
            </w:r>
          </w:p>
        </w:tc>
        <w:tc>
          <w:tcPr>
            <w:tcW w:w="5239" w:type="dxa"/>
          </w:tcPr>
          <w:p w14:paraId="1052FCDA" w14:textId="57BFA557" w:rsidR="00B8160B" w:rsidRDefault="00B8160B" w:rsidP="00F2247A">
            <w:pPr>
              <w:jc w:val="both"/>
            </w:pPr>
            <w:r w:rsidRPr="00D60E76">
              <w:t>Nám. Ľ.</w:t>
            </w:r>
            <w:r>
              <w:t xml:space="preserve"> </w:t>
            </w:r>
            <w:r w:rsidRPr="00D60E76">
              <w:t>Štúra 2357/2, Spoločenský dom, 95501 Topoľčany</w:t>
            </w:r>
          </w:p>
        </w:tc>
      </w:tr>
      <w:tr w:rsidR="00CC77D8" w14:paraId="5A6F0762" w14:textId="77777777" w:rsidTr="00E12B0E">
        <w:tc>
          <w:tcPr>
            <w:tcW w:w="3823" w:type="dxa"/>
          </w:tcPr>
          <w:p w14:paraId="7C0BCC4B" w14:textId="5B740299" w:rsidR="00CC77D8" w:rsidRDefault="00CC77D8" w:rsidP="00F2247A">
            <w:pPr>
              <w:jc w:val="both"/>
              <w:rPr>
                <w:b/>
                <w:bCs/>
              </w:rPr>
            </w:pPr>
            <w:r>
              <w:rPr>
                <w:b/>
                <w:bCs/>
              </w:rPr>
              <w:t>Názov hospodárskeho subjektu</w:t>
            </w:r>
          </w:p>
        </w:tc>
        <w:tc>
          <w:tcPr>
            <w:tcW w:w="5239" w:type="dxa"/>
          </w:tcPr>
          <w:p w14:paraId="6BA956AC" w14:textId="67F35732" w:rsidR="00CC77D8" w:rsidRPr="00B8160B" w:rsidRDefault="00B8160B" w:rsidP="00F2247A">
            <w:pPr>
              <w:jc w:val="both"/>
            </w:pPr>
            <w:r>
              <w:t>Účastník TK vyplní</w:t>
            </w:r>
          </w:p>
        </w:tc>
      </w:tr>
      <w:tr w:rsidR="00CC77D8" w14:paraId="58138460" w14:textId="77777777" w:rsidTr="00E12B0E">
        <w:tc>
          <w:tcPr>
            <w:tcW w:w="3823" w:type="dxa"/>
          </w:tcPr>
          <w:p w14:paraId="707B2107" w14:textId="4FA775B3" w:rsidR="00CC77D8" w:rsidRDefault="00CC77D8" w:rsidP="00F2247A">
            <w:pPr>
              <w:jc w:val="both"/>
              <w:rPr>
                <w:b/>
                <w:bCs/>
              </w:rPr>
            </w:pPr>
            <w:r>
              <w:rPr>
                <w:b/>
                <w:bCs/>
              </w:rPr>
              <w:t>IČO</w:t>
            </w:r>
          </w:p>
        </w:tc>
        <w:tc>
          <w:tcPr>
            <w:tcW w:w="5239" w:type="dxa"/>
          </w:tcPr>
          <w:p w14:paraId="3EAEEEFF" w14:textId="1C261121" w:rsidR="00CC77D8" w:rsidRDefault="00B8160B" w:rsidP="00F2247A">
            <w:pPr>
              <w:jc w:val="both"/>
              <w:rPr>
                <w:b/>
                <w:bCs/>
              </w:rPr>
            </w:pPr>
            <w:r>
              <w:t>Účastník TK vyplní</w:t>
            </w:r>
          </w:p>
        </w:tc>
      </w:tr>
      <w:tr w:rsidR="00CC77D8" w14:paraId="731F960B" w14:textId="77777777" w:rsidTr="00E12B0E">
        <w:tc>
          <w:tcPr>
            <w:tcW w:w="3823" w:type="dxa"/>
          </w:tcPr>
          <w:p w14:paraId="1A47CC39" w14:textId="32A9AF9B" w:rsidR="00CC77D8" w:rsidRDefault="00CC77D8" w:rsidP="00F2247A">
            <w:pPr>
              <w:jc w:val="both"/>
              <w:rPr>
                <w:b/>
                <w:bCs/>
              </w:rPr>
            </w:pPr>
            <w:r>
              <w:rPr>
                <w:b/>
                <w:bCs/>
              </w:rPr>
              <w:t>Adresa sídla alebo miesta podnikania</w:t>
            </w:r>
          </w:p>
        </w:tc>
        <w:tc>
          <w:tcPr>
            <w:tcW w:w="5239" w:type="dxa"/>
          </w:tcPr>
          <w:p w14:paraId="4F72687E" w14:textId="7B6BD9E1" w:rsidR="00CC77D8" w:rsidRDefault="00B8160B" w:rsidP="00F2247A">
            <w:pPr>
              <w:jc w:val="both"/>
              <w:rPr>
                <w:b/>
                <w:bCs/>
              </w:rPr>
            </w:pPr>
            <w:r>
              <w:t>Účastník TK vyplní</w:t>
            </w:r>
          </w:p>
        </w:tc>
      </w:tr>
      <w:tr w:rsidR="00CC77D8" w14:paraId="5B3D123F" w14:textId="77777777" w:rsidTr="00E12B0E">
        <w:tc>
          <w:tcPr>
            <w:tcW w:w="3823" w:type="dxa"/>
          </w:tcPr>
          <w:p w14:paraId="0D0E0D4C" w14:textId="4E30AE94" w:rsidR="00CC77D8" w:rsidRDefault="00CC77D8" w:rsidP="00F2247A">
            <w:pPr>
              <w:jc w:val="both"/>
              <w:rPr>
                <w:b/>
                <w:bCs/>
              </w:rPr>
            </w:pPr>
            <w:r>
              <w:rPr>
                <w:b/>
                <w:bCs/>
              </w:rPr>
              <w:t>Oprávnený zástupca na TK</w:t>
            </w:r>
            <w:r>
              <w:rPr>
                <w:rStyle w:val="Odkaznapoznmkupodiarou"/>
                <w:b/>
                <w:bCs/>
              </w:rPr>
              <w:footnoteReference w:id="2"/>
            </w:r>
            <w:r w:rsidR="001E3FE3">
              <w:rPr>
                <w:b/>
                <w:bCs/>
              </w:rPr>
              <w:t xml:space="preserve"> (meno, priezvisko, tel. kontakt, emailový kontakt)</w:t>
            </w:r>
          </w:p>
        </w:tc>
        <w:tc>
          <w:tcPr>
            <w:tcW w:w="5239" w:type="dxa"/>
          </w:tcPr>
          <w:p w14:paraId="6F20DFF8" w14:textId="73928419" w:rsidR="00CC77D8" w:rsidRDefault="00B8160B" w:rsidP="00F2247A">
            <w:pPr>
              <w:jc w:val="both"/>
              <w:rPr>
                <w:b/>
                <w:bCs/>
              </w:rPr>
            </w:pPr>
            <w:r>
              <w:t>Účastník TK vyplní</w:t>
            </w:r>
          </w:p>
        </w:tc>
      </w:tr>
      <w:tr w:rsidR="00CC77D8" w14:paraId="60FB2706" w14:textId="77777777" w:rsidTr="00E12B0E">
        <w:tc>
          <w:tcPr>
            <w:tcW w:w="3823" w:type="dxa"/>
          </w:tcPr>
          <w:p w14:paraId="3B42D82D" w14:textId="4A9EC7D0" w:rsidR="00CC77D8" w:rsidRDefault="001E3FE3" w:rsidP="00F2247A">
            <w:pPr>
              <w:jc w:val="both"/>
              <w:rPr>
                <w:b/>
                <w:bCs/>
              </w:rPr>
            </w:pPr>
            <w:r>
              <w:rPr>
                <w:b/>
                <w:bCs/>
              </w:rPr>
              <w:t>Podpis oprávneného zástupcu, že sa oboznámil s právnou úpravou TK podľa zákona o verejnom obstarávaní</w:t>
            </w:r>
            <w:r>
              <w:rPr>
                <w:rStyle w:val="Odkaznapoznmkupodiarou"/>
                <w:b/>
                <w:bCs/>
              </w:rPr>
              <w:footnoteReference w:id="3"/>
            </w:r>
          </w:p>
        </w:tc>
        <w:tc>
          <w:tcPr>
            <w:tcW w:w="5239" w:type="dxa"/>
          </w:tcPr>
          <w:p w14:paraId="0E6C04A7" w14:textId="7DF39D97" w:rsidR="00CC77D8" w:rsidRPr="00B8160B" w:rsidRDefault="00B8160B" w:rsidP="00F2247A">
            <w:pPr>
              <w:jc w:val="both"/>
            </w:pPr>
            <w:r>
              <w:t>Oprávnená osoba podpíše</w:t>
            </w:r>
          </w:p>
        </w:tc>
      </w:tr>
      <w:tr w:rsidR="001E3FE3" w14:paraId="712F67B3" w14:textId="77777777" w:rsidTr="00E12B0E">
        <w:tc>
          <w:tcPr>
            <w:tcW w:w="3823" w:type="dxa"/>
          </w:tcPr>
          <w:p w14:paraId="6042F1D5" w14:textId="6A1F8AB3" w:rsidR="001E3FE3" w:rsidRDefault="001E3FE3" w:rsidP="00F2247A">
            <w:pPr>
              <w:jc w:val="both"/>
              <w:rPr>
                <w:b/>
                <w:bCs/>
              </w:rPr>
            </w:pPr>
            <w:r>
              <w:rPr>
                <w:b/>
                <w:bCs/>
              </w:rPr>
              <w:t xml:space="preserve">Súhlas oprávneného zástupcu </w:t>
            </w:r>
            <w:r w:rsidR="00B8160B">
              <w:rPr>
                <w:b/>
                <w:bCs/>
              </w:rPr>
              <w:t>s vyhotovovaním zvukového záznamu, ktorý slúži na prípravu zápisnice z TK</w:t>
            </w:r>
          </w:p>
        </w:tc>
        <w:tc>
          <w:tcPr>
            <w:tcW w:w="5239" w:type="dxa"/>
          </w:tcPr>
          <w:p w14:paraId="0344604F" w14:textId="30FB7838" w:rsidR="001E3FE3" w:rsidRPr="00B8160B" w:rsidRDefault="00B8160B" w:rsidP="00F2247A">
            <w:pPr>
              <w:jc w:val="both"/>
            </w:pPr>
            <w:r>
              <w:t>Oprávnená osoba pod</w:t>
            </w:r>
            <w:r w:rsidR="00E80A59">
              <w:t>p</w:t>
            </w:r>
            <w:r>
              <w:t>íše</w:t>
            </w:r>
          </w:p>
        </w:tc>
      </w:tr>
    </w:tbl>
    <w:p w14:paraId="478D6657" w14:textId="77777777" w:rsidR="00CC77D8" w:rsidRPr="00CC77D8" w:rsidRDefault="00CC77D8" w:rsidP="00F2247A">
      <w:pPr>
        <w:jc w:val="both"/>
        <w:rPr>
          <w:b/>
          <w:bCs/>
        </w:rPr>
      </w:pPr>
    </w:p>
    <w:p w14:paraId="1B750E06" w14:textId="58C13C7C" w:rsidR="00486D7B" w:rsidRDefault="00B8160B" w:rsidP="00D60E76">
      <w:pPr>
        <w:jc w:val="both"/>
      </w:pPr>
      <w:r>
        <w:t>Okruhy otázok, ktoré budú podkladom na rokovanie v rámci TK:</w:t>
      </w:r>
    </w:p>
    <w:p w14:paraId="083A37D1" w14:textId="3C7C0D71" w:rsidR="00B8160B" w:rsidRDefault="00B8160B" w:rsidP="00D60E76">
      <w:pPr>
        <w:jc w:val="both"/>
      </w:pPr>
    </w:p>
    <w:p w14:paraId="7E1C6A95" w14:textId="5F81598C" w:rsidR="00B8160B" w:rsidRDefault="00B8160B" w:rsidP="00B8160B">
      <w:pPr>
        <w:pStyle w:val="Odsekzoznamu"/>
        <w:numPr>
          <w:ilvl w:val="0"/>
          <w:numId w:val="1"/>
        </w:numPr>
        <w:jc w:val="both"/>
      </w:pPr>
      <w:r>
        <w:t xml:space="preserve">Aká je predpokladaná hodnota (cena bez DPH) dodávky </w:t>
      </w:r>
      <w:r w:rsidR="005A59AD" w:rsidRPr="0083276E">
        <w:t>8</w:t>
      </w:r>
      <w:r>
        <w:t xml:space="preserve"> ks </w:t>
      </w:r>
      <w:r w:rsidR="00F31D2E">
        <w:t xml:space="preserve">parkovacích </w:t>
      </w:r>
      <w:r>
        <w:t>automatov</w:t>
      </w:r>
      <w:r w:rsidR="00F31D2E">
        <w:t xml:space="preserve"> </w:t>
      </w:r>
      <w:r>
        <w:t>aj s kompletnou inštaláciou, vrátane záručného servisu (minimálne 24 mesiacov)</w:t>
      </w:r>
      <w:r w:rsidR="00F31D2E">
        <w:t>,</w:t>
      </w:r>
    </w:p>
    <w:p w14:paraId="4CC638DB" w14:textId="7BC9DC2A" w:rsidR="009E1154" w:rsidRDefault="009E1154" w:rsidP="009E1154">
      <w:pPr>
        <w:pStyle w:val="Odsekzoznamu"/>
        <w:numPr>
          <w:ilvl w:val="0"/>
          <w:numId w:val="1"/>
        </w:numPr>
        <w:jc w:val="both"/>
      </w:pPr>
      <w:r>
        <w:t>Aká je životnosť automatov (</w:t>
      </w:r>
      <w:proofErr w:type="spellStart"/>
      <w:r>
        <w:t>t.j</w:t>
      </w:r>
      <w:proofErr w:type="spellEnd"/>
      <w:r>
        <w:t>. aké dlhé obdobie ich je možné prevádzkovať)?</w:t>
      </w:r>
    </w:p>
    <w:p w14:paraId="13D8C01C" w14:textId="4CED6458" w:rsidR="00F31D2E" w:rsidRDefault="00F31D2E" w:rsidP="00F31D2E">
      <w:pPr>
        <w:pStyle w:val="Odsekzoznamu"/>
        <w:numPr>
          <w:ilvl w:val="0"/>
          <w:numId w:val="1"/>
        </w:numPr>
        <w:jc w:val="both"/>
      </w:pPr>
      <w:r>
        <w:t>Aké sú štandardné funkcie Vašich parkovacích automatov - presne vymenovať funkcie napr.</w:t>
      </w:r>
    </w:p>
    <w:p w14:paraId="1C3CCDC9" w14:textId="1390338D" w:rsidR="00F31D2E" w:rsidRDefault="00F31D2E" w:rsidP="00F31D2E">
      <w:pPr>
        <w:pStyle w:val="Odsekzoznamu"/>
        <w:numPr>
          <w:ilvl w:val="0"/>
          <w:numId w:val="2"/>
        </w:numPr>
        <w:jc w:val="both"/>
      </w:pPr>
      <w:r>
        <w:t>Umožňuje platbu mincami,</w:t>
      </w:r>
    </w:p>
    <w:p w14:paraId="1E16619F" w14:textId="444C94FD" w:rsidR="00F31D2E" w:rsidRDefault="00F31D2E" w:rsidP="00F31D2E">
      <w:pPr>
        <w:pStyle w:val="Odsekzoznamu"/>
        <w:numPr>
          <w:ilvl w:val="0"/>
          <w:numId w:val="2"/>
        </w:numPr>
        <w:jc w:val="both"/>
      </w:pPr>
      <w:r>
        <w:t>Umožňuje platbu bankovkami,</w:t>
      </w:r>
    </w:p>
    <w:p w14:paraId="48FC8401" w14:textId="30B656A1" w:rsidR="00F31D2E" w:rsidRDefault="00F31D2E" w:rsidP="00F31D2E">
      <w:pPr>
        <w:pStyle w:val="Odsekzoznamu"/>
        <w:numPr>
          <w:ilvl w:val="0"/>
          <w:numId w:val="2"/>
        </w:numPr>
        <w:jc w:val="both"/>
      </w:pPr>
      <w:r>
        <w:t>Umožňuje platbu kreditnou/debetnou kartou,</w:t>
      </w:r>
    </w:p>
    <w:p w14:paraId="5E262FB6" w14:textId="4A2F62C1" w:rsidR="00F31D2E" w:rsidRDefault="00F31D2E" w:rsidP="00F31D2E">
      <w:pPr>
        <w:pStyle w:val="Odsekzoznamu"/>
        <w:numPr>
          <w:ilvl w:val="0"/>
          <w:numId w:val="2"/>
        </w:numPr>
        <w:jc w:val="both"/>
      </w:pPr>
      <w:r>
        <w:t xml:space="preserve">Umožňuje platbu cez aplikáciu v mobilnom zariadení/telefóne (Android, </w:t>
      </w:r>
      <w:proofErr w:type="spellStart"/>
      <w:r>
        <w:t>iOS</w:t>
      </w:r>
      <w:proofErr w:type="spellEnd"/>
      <w:r>
        <w:t>, iné),</w:t>
      </w:r>
    </w:p>
    <w:p w14:paraId="0CD59CB7" w14:textId="3C124CF0" w:rsidR="00F31D2E" w:rsidRDefault="00F31D2E" w:rsidP="00F31D2E">
      <w:pPr>
        <w:pStyle w:val="Odsekzoznamu"/>
        <w:numPr>
          <w:ilvl w:val="0"/>
          <w:numId w:val="2"/>
        </w:numPr>
        <w:jc w:val="both"/>
      </w:pPr>
      <w:r>
        <w:t xml:space="preserve">Umožňuje platbu cez </w:t>
      </w:r>
      <w:proofErr w:type="spellStart"/>
      <w:r>
        <w:t>pay</w:t>
      </w:r>
      <w:proofErr w:type="spellEnd"/>
      <w:r>
        <w:t>-pal alebo obdobnú službu,</w:t>
      </w:r>
    </w:p>
    <w:p w14:paraId="251E7096" w14:textId="789687DC" w:rsidR="00F31D2E" w:rsidRDefault="00F31D2E" w:rsidP="00F31D2E">
      <w:pPr>
        <w:pStyle w:val="Odsekzoznamu"/>
        <w:numPr>
          <w:ilvl w:val="0"/>
          <w:numId w:val="2"/>
        </w:numPr>
        <w:jc w:val="both"/>
      </w:pPr>
      <w:r>
        <w:t>Umožňuje platbu cez platobnú bránu (uviesť jej názov a poskytovateľa služby)?</w:t>
      </w:r>
    </w:p>
    <w:p w14:paraId="29AD7607" w14:textId="4E466BF3" w:rsidR="00F31D2E" w:rsidRDefault="00F31D2E" w:rsidP="00F31D2E">
      <w:pPr>
        <w:pStyle w:val="Odsekzoznamu"/>
        <w:numPr>
          <w:ilvl w:val="0"/>
          <w:numId w:val="1"/>
        </w:numPr>
        <w:jc w:val="both"/>
      </w:pPr>
      <w:r>
        <w:t xml:space="preserve">Je v cene parkovacích automatov zohľadnená konečná cena, </w:t>
      </w:r>
      <w:proofErr w:type="spellStart"/>
      <w:r>
        <w:t>t.j</w:t>
      </w:r>
      <w:proofErr w:type="spellEnd"/>
      <w:r>
        <w:t>. ceny za „</w:t>
      </w:r>
      <w:proofErr w:type="spellStart"/>
      <w:r>
        <w:t>mikrotransakcie</w:t>
      </w:r>
      <w:proofErr w:type="spellEnd"/>
      <w:r>
        <w:t xml:space="preserve">“ platí priamo verejný obstarávateľ banke alebo v cene za parkovacie automaty je zohľadnená aj cena za </w:t>
      </w:r>
      <w:proofErr w:type="spellStart"/>
      <w:r>
        <w:t>mikrotransakcie</w:t>
      </w:r>
      <w:proofErr w:type="spellEnd"/>
      <w:r>
        <w:t>?</w:t>
      </w:r>
    </w:p>
    <w:p w14:paraId="5ABABD62" w14:textId="77777777" w:rsidR="00045131" w:rsidRDefault="00ED70BE" w:rsidP="00F31D2E">
      <w:pPr>
        <w:pStyle w:val="Odsekzoznamu"/>
        <w:numPr>
          <w:ilvl w:val="0"/>
          <w:numId w:val="1"/>
        </w:numPr>
        <w:jc w:val="both"/>
      </w:pPr>
      <w:r>
        <w:t>Ak</w:t>
      </w:r>
      <w:r w:rsidR="002D75A1">
        <w:t xml:space="preserve"> nie, aká je výška </w:t>
      </w:r>
      <w:proofErr w:type="spellStart"/>
      <w:r w:rsidR="002D75A1">
        <w:t>mikrotransakci</w:t>
      </w:r>
      <w:r w:rsidR="003D2073">
        <w:t>í</w:t>
      </w:r>
      <w:proofErr w:type="spellEnd"/>
      <w:r w:rsidR="002D75A1">
        <w:t>, ktorú si ponecháva za služby banka a koľko si ponecháva dodávateľ parkovacieho automatu?</w:t>
      </w:r>
    </w:p>
    <w:p w14:paraId="1C5AEA96" w14:textId="6EE47D91" w:rsidR="003D2073" w:rsidRPr="00BF44CF" w:rsidRDefault="003D2073" w:rsidP="00F31D2E">
      <w:pPr>
        <w:pStyle w:val="Odsekzoznamu"/>
        <w:numPr>
          <w:ilvl w:val="0"/>
          <w:numId w:val="1"/>
        </w:numPr>
        <w:jc w:val="both"/>
      </w:pPr>
      <w:r w:rsidRPr="00BF44CF">
        <w:t xml:space="preserve">Podľa odhadu verejného obstarávateľa </w:t>
      </w:r>
      <w:r w:rsidRPr="0083276E">
        <w:t xml:space="preserve">je </w:t>
      </w:r>
      <w:r w:rsidR="00E22C90" w:rsidRPr="0083276E">
        <w:t>aktuálny</w:t>
      </w:r>
      <w:r w:rsidR="00E22C90">
        <w:t xml:space="preserve"> </w:t>
      </w:r>
      <w:r w:rsidRPr="00BF44CF">
        <w:t xml:space="preserve">záujem občanov o platbu prostredníctvom platby </w:t>
      </w:r>
      <w:r w:rsidR="00332311" w:rsidRPr="00BF44CF">
        <w:t xml:space="preserve">inej </w:t>
      </w:r>
      <w:r w:rsidRPr="00BF44CF">
        <w:t xml:space="preserve">ako hotovosť </w:t>
      </w:r>
      <w:r w:rsidR="005A59AD" w:rsidRPr="0083276E">
        <w:t>20 000</w:t>
      </w:r>
      <w:r w:rsidR="00045131" w:rsidRPr="0083276E">
        <w:t xml:space="preserve"> ks</w:t>
      </w:r>
      <w:r w:rsidR="00045131" w:rsidRPr="00BF44CF">
        <w:t xml:space="preserve"> predaných lístkov</w:t>
      </w:r>
      <w:r w:rsidR="00BF44CF">
        <w:t xml:space="preserve"> </w:t>
      </w:r>
      <w:r w:rsidR="00BF44CF" w:rsidRPr="0083276E">
        <w:t>za rok</w:t>
      </w:r>
      <w:r w:rsidR="00332311" w:rsidRPr="00BF44CF">
        <w:t xml:space="preserve"> v predpokladanej hodnote ceny lístka </w:t>
      </w:r>
      <w:r w:rsidR="00BF44CF" w:rsidRPr="0083276E">
        <w:t xml:space="preserve">0,50 </w:t>
      </w:r>
      <w:r w:rsidR="00332311" w:rsidRPr="0083276E">
        <w:t>eur</w:t>
      </w:r>
      <w:r w:rsidR="00332311" w:rsidRPr="00BF44CF">
        <w:t xml:space="preserve">. Aká je hodnota parkovného, ktoré sa odvedie verejnému obstarávateľovi? </w:t>
      </w:r>
    </w:p>
    <w:p w14:paraId="69A6AF33" w14:textId="130AB587" w:rsidR="00332311" w:rsidRDefault="00332311" w:rsidP="00332311">
      <w:pPr>
        <w:pStyle w:val="Odsekzoznamu"/>
        <w:jc w:val="both"/>
        <w:rPr>
          <w:highlight w:val="yellow"/>
        </w:rPr>
      </w:pPr>
    </w:p>
    <w:tbl>
      <w:tblPr>
        <w:tblStyle w:val="Mriekatabuky"/>
        <w:tblW w:w="0" w:type="auto"/>
        <w:tblInd w:w="720" w:type="dxa"/>
        <w:tblLook w:val="04A0" w:firstRow="1" w:lastRow="0" w:firstColumn="1" w:lastColumn="0" w:noHBand="0" w:noVBand="1"/>
      </w:tblPr>
      <w:tblGrid>
        <w:gridCol w:w="4180"/>
        <w:gridCol w:w="4162"/>
      </w:tblGrid>
      <w:tr w:rsidR="003159E0" w14:paraId="3D036B51" w14:textId="77777777" w:rsidTr="003159E0">
        <w:tc>
          <w:tcPr>
            <w:tcW w:w="4531" w:type="dxa"/>
          </w:tcPr>
          <w:p w14:paraId="62CDAD6A" w14:textId="29D774B2" w:rsidR="003159E0" w:rsidRPr="00BF44CF" w:rsidRDefault="003159E0" w:rsidP="00332311">
            <w:pPr>
              <w:pStyle w:val="Odsekzoznamu"/>
              <w:ind w:left="0"/>
              <w:jc w:val="both"/>
            </w:pPr>
            <w:r w:rsidRPr="00BF44CF">
              <w:lastRenderedPageBreak/>
              <w:t>Počet predaných lístkov (iné ako hotovosť) za rok</w:t>
            </w:r>
          </w:p>
        </w:tc>
        <w:tc>
          <w:tcPr>
            <w:tcW w:w="4531" w:type="dxa"/>
          </w:tcPr>
          <w:p w14:paraId="1A9246DF" w14:textId="71C42AEA" w:rsidR="003159E0" w:rsidRDefault="000044E0" w:rsidP="00332311">
            <w:pPr>
              <w:pStyle w:val="Odsekzoznamu"/>
              <w:ind w:left="0"/>
              <w:jc w:val="both"/>
            </w:pPr>
            <w:r w:rsidRPr="0083276E">
              <w:t>45</w:t>
            </w:r>
            <w:r w:rsidR="005A59AD" w:rsidRPr="0083276E">
              <w:t> 000</w:t>
            </w:r>
          </w:p>
          <w:p w14:paraId="0782B917" w14:textId="5E87CB62" w:rsidR="005A59AD" w:rsidRPr="00BF44CF" w:rsidRDefault="005A59AD" w:rsidP="00332311">
            <w:pPr>
              <w:pStyle w:val="Odsekzoznamu"/>
              <w:ind w:left="0"/>
              <w:jc w:val="both"/>
            </w:pPr>
          </w:p>
        </w:tc>
      </w:tr>
      <w:tr w:rsidR="003159E0" w14:paraId="5558565E" w14:textId="77777777" w:rsidTr="003159E0">
        <w:tc>
          <w:tcPr>
            <w:tcW w:w="4531" w:type="dxa"/>
          </w:tcPr>
          <w:p w14:paraId="4738D299" w14:textId="255BFA02" w:rsidR="003159E0" w:rsidRPr="00BF44CF" w:rsidRDefault="003159E0" w:rsidP="00332311">
            <w:pPr>
              <w:pStyle w:val="Odsekzoznamu"/>
              <w:ind w:left="0"/>
              <w:jc w:val="both"/>
            </w:pPr>
            <w:r w:rsidRPr="00BF44CF">
              <w:t>Počet rokov – životnosť parkovacích automatov</w:t>
            </w:r>
          </w:p>
        </w:tc>
        <w:tc>
          <w:tcPr>
            <w:tcW w:w="4531" w:type="dxa"/>
          </w:tcPr>
          <w:p w14:paraId="69F41F0E" w14:textId="37414A34" w:rsidR="003159E0" w:rsidRPr="00BF44CF" w:rsidRDefault="003159E0" w:rsidP="00332311">
            <w:pPr>
              <w:pStyle w:val="Odsekzoznamu"/>
              <w:ind w:left="0"/>
              <w:jc w:val="both"/>
            </w:pPr>
            <w:r w:rsidRPr="00BF44CF">
              <w:t>10 rokov</w:t>
            </w:r>
          </w:p>
        </w:tc>
      </w:tr>
      <w:tr w:rsidR="003159E0" w14:paraId="0E909599" w14:textId="77777777" w:rsidTr="003159E0">
        <w:tc>
          <w:tcPr>
            <w:tcW w:w="4531" w:type="dxa"/>
          </w:tcPr>
          <w:p w14:paraId="0199A399" w14:textId="0379278A" w:rsidR="003159E0" w:rsidRPr="00BF44CF" w:rsidRDefault="003159E0" w:rsidP="00332311">
            <w:pPr>
              <w:pStyle w:val="Odsekzoznamu"/>
              <w:ind w:left="0"/>
              <w:jc w:val="both"/>
            </w:pPr>
            <w:r w:rsidRPr="00BF44CF">
              <w:t>Provízia pre banku</w:t>
            </w:r>
          </w:p>
        </w:tc>
        <w:tc>
          <w:tcPr>
            <w:tcW w:w="4531" w:type="dxa"/>
          </w:tcPr>
          <w:p w14:paraId="7E25E35E" w14:textId="340E19E0" w:rsidR="003159E0" w:rsidRPr="00BF44CF" w:rsidRDefault="003159E0" w:rsidP="00332311">
            <w:pPr>
              <w:pStyle w:val="Odsekzoznamu"/>
              <w:ind w:left="0"/>
              <w:jc w:val="both"/>
            </w:pPr>
            <w:r w:rsidRPr="00BF44CF">
              <w:t>0,05</w:t>
            </w:r>
            <w:r w:rsidR="000044E0">
              <w:t>€</w:t>
            </w:r>
            <w:r w:rsidRPr="00BF44CF">
              <w:t xml:space="preserve"> z</w:t>
            </w:r>
            <w:r w:rsidR="006E37AA">
              <w:t> </w:t>
            </w:r>
            <w:r w:rsidRPr="00BF44CF">
              <w:t>transakcie</w:t>
            </w:r>
            <w:r w:rsidR="006E37AA">
              <w:t xml:space="preserve"> / 10% </w:t>
            </w:r>
          </w:p>
        </w:tc>
      </w:tr>
      <w:tr w:rsidR="003159E0" w14:paraId="1708C563" w14:textId="77777777" w:rsidTr="003159E0">
        <w:tc>
          <w:tcPr>
            <w:tcW w:w="4531" w:type="dxa"/>
          </w:tcPr>
          <w:p w14:paraId="35B3198F" w14:textId="2819C9FF" w:rsidR="003159E0" w:rsidRPr="00BF44CF" w:rsidRDefault="003159E0" w:rsidP="00332311">
            <w:pPr>
              <w:pStyle w:val="Odsekzoznamu"/>
              <w:ind w:left="0"/>
              <w:jc w:val="both"/>
            </w:pPr>
            <w:r w:rsidRPr="00BF44CF">
              <w:t>Provízia pre dodávateľa parkovacieho automatu</w:t>
            </w:r>
          </w:p>
        </w:tc>
        <w:tc>
          <w:tcPr>
            <w:tcW w:w="4531" w:type="dxa"/>
          </w:tcPr>
          <w:p w14:paraId="32E85B71" w14:textId="304E134F" w:rsidR="003159E0" w:rsidRPr="00BF44CF" w:rsidRDefault="000044E0" w:rsidP="00332311">
            <w:pPr>
              <w:pStyle w:val="Odsekzoznamu"/>
              <w:ind w:left="0"/>
              <w:jc w:val="both"/>
            </w:pPr>
            <w:r>
              <w:t xml:space="preserve">0,01€ z transakcie </w:t>
            </w:r>
          </w:p>
        </w:tc>
      </w:tr>
      <w:tr w:rsidR="003159E0" w14:paraId="5E503B8C" w14:textId="77777777" w:rsidTr="003159E0">
        <w:tc>
          <w:tcPr>
            <w:tcW w:w="4531" w:type="dxa"/>
          </w:tcPr>
          <w:p w14:paraId="083A13F7" w14:textId="4E8E1251" w:rsidR="003159E0" w:rsidRPr="00BF44CF" w:rsidRDefault="003159E0" w:rsidP="00332311">
            <w:pPr>
              <w:pStyle w:val="Odsekzoznamu"/>
              <w:ind w:left="0"/>
              <w:jc w:val="both"/>
            </w:pPr>
            <w:r w:rsidRPr="00BF44CF">
              <w:t>Cena automatov</w:t>
            </w:r>
          </w:p>
        </w:tc>
        <w:tc>
          <w:tcPr>
            <w:tcW w:w="4531" w:type="dxa"/>
          </w:tcPr>
          <w:p w14:paraId="371C936B" w14:textId="58932E1C" w:rsidR="003159E0" w:rsidRPr="00BF44CF" w:rsidRDefault="003159E0" w:rsidP="00332311">
            <w:pPr>
              <w:pStyle w:val="Odsekzoznamu"/>
              <w:ind w:left="0"/>
              <w:jc w:val="both"/>
            </w:pPr>
            <w:r w:rsidRPr="00BF44CF">
              <w:t>65 000 eur bez DPH</w:t>
            </w:r>
          </w:p>
        </w:tc>
      </w:tr>
      <w:tr w:rsidR="00B542EC" w14:paraId="19715DD5" w14:textId="77777777" w:rsidTr="003159E0">
        <w:tc>
          <w:tcPr>
            <w:tcW w:w="4531" w:type="dxa"/>
          </w:tcPr>
          <w:p w14:paraId="5A5C3DA5" w14:textId="79A44A5A" w:rsidR="00B542EC" w:rsidRPr="000044E0" w:rsidRDefault="00B542EC" w:rsidP="00332311">
            <w:pPr>
              <w:pStyle w:val="Odsekzoznamu"/>
              <w:ind w:left="0"/>
              <w:jc w:val="both"/>
              <w:rPr>
                <w:highlight w:val="cyan"/>
              </w:rPr>
            </w:pPr>
            <w:r w:rsidRPr="0083276E">
              <w:t xml:space="preserve">Výsledok VO sa určí ako </w:t>
            </w:r>
          </w:p>
        </w:tc>
        <w:tc>
          <w:tcPr>
            <w:tcW w:w="4531" w:type="dxa"/>
          </w:tcPr>
          <w:p w14:paraId="1FB5B870" w14:textId="1C7B2E7B" w:rsidR="00B542EC" w:rsidRPr="000044E0" w:rsidRDefault="000044E0" w:rsidP="00332311">
            <w:pPr>
              <w:pStyle w:val="Odsekzoznamu"/>
              <w:ind w:left="0"/>
              <w:jc w:val="both"/>
              <w:rPr>
                <w:highlight w:val="cyan"/>
              </w:rPr>
            </w:pPr>
            <w:r w:rsidRPr="0083276E">
              <w:t>45</w:t>
            </w:r>
            <w:r w:rsidR="005A59AD" w:rsidRPr="0083276E">
              <w:t xml:space="preserve"> 000</w:t>
            </w:r>
            <w:r w:rsidR="00B542EC" w:rsidRPr="0083276E">
              <w:t xml:space="preserve"> x 0,</w:t>
            </w:r>
            <w:r w:rsidR="005A59AD" w:rsidRPr="0083276E">
              <w:t>0</w:t>
            </w:r>
            <w:r w:rsidRPr="0083276E">
              <w:t>1</w:t>
            </w:r>
            <w:r w:rsidR="00B542EC" w:rsidRPr="0083276E">
              <w:t xml:space="preserve"> </w:t>
            </w:r>
            <w:r w:rsidR="00957806" w:rsidRPr="0083276E">
              <w:t xml:space="preserve">x 10 </w:t>
            </w:r>
            <w:r w:rsidR="00B542EC" w:rsidRPr="0083276E">
              <w:t>+ 65 000 eur</w:t>
            </w:r>
          </w:p>
        </w:tc>
      </w:tr>
    </w:tbl>
    <w:p w14:paraId="1CE2AF39" w14:textId="2DBA8426" w:rsidR="00332311" w:rsidRDefault="00332311" w:rsidP="00332311">
      <w:pPr>
        <w:pStyle w:val="Odsekzoznamu"/>
        <w:jc w:val="both"/>
        <w:rPr>
          <w:highlight w:val="yellow"/>
        </w:rPr>
      </w:pPr>
    </w:p>
    <w:p w14:paraId="676C7514" w14:textId="21D8E719" w:rsidR="00B542EC" w:rsidRPr="0083276E" w:rsidRDefault="00B542EC" w:rsidP="00332311">
      <w:pPr>
        <w:pStyle w:val="Odsekzoznamu"/>
        <w:jc w:val="both"/>
      </w:pPr>
      <w:r w:rsidRPr="0083276E">
        <w:t xml:space="preserve">Je tento </w:t>
      </w:r>
      <w:proofErr w:type="spellStart"/>
      <w:r w:rsidRPr="0083276E">
        <w:t>potecnálny</w:t>
      </w:r>
      <w:proofErr w:type="spellEnd"/>
      <w:r w:rsidRPr="0083276E">
        <w:t xml:space="preserve"> výpočet pre určenie </w:t>
      </w:r>
      <w:proofErr w:type="spellStart"/>
      <w:r w:rsidRPr="0083276E">
        <w:t>úspečného</w:t>
      </w:r>
      <w:proofErr w:type="spellEnd"/>
      <w:r w:rsidRPr="0083276E">
        <w:t xml:space="preserve"> uchádzača správny? Ak nie, prečo? Ako by mal byť správne nastavený vzorec na vyhodnotenie, ktorý by ste považovali za správny? </w:t>
      </w:r>
    </w:p>
    <w:p w14:paraId="19266B92" w14:textId="71F9906F" w:rsidR="00E80A59" w:rsidRDefault="00E80A59" w:rsidP="00332311">
      <w:pPr>
        <w:pStyle w:val="Odsekzoznamu"/>
        <w:jc w:val="both"/>
        <w:rPr>
          <w:highlight w:val="yellow"/>
        </w:rPr>
      </w:pPr>
    </w:p>
    <w:p w14:paraId="3F8E8731" w14:textId="6B0FAE9D" w:rsidR="00D60E76" w:rsidRDefault="00E80A59" w:rsidP="00D60E76">
      <w:pPr>
        <w:pStyle w:val="Odsekzoznamu"/>
        <w:numPr>
          <w:ilvl w:val="0"/>
          <w:numId w:val="1"/>
        </w:numPr>
        <w:jc w:val="both"/>
      </w:pPr>
      <w:r w:rsidRPr="00E80A59">
        <w:t xml:space="preserve">Sú s prevádzkou parkovacích automatov spojené ďalšie náklady/poplatky, ktoré by </w:t>
      </w:r>
      <w:r w:rsidR="00280699">
        <w:t xml:space="preserve">mali byť zohľadnené vo vyhodnotený verejného obstarávania? </w:t>
      </w:r>
    </w:p>
    <w:p w14:paraId="53AAAE67" w14:textId="550EBEDA" w:rsidR="00280699" w:rsidRDefault="00280699" w:rsidP="00D60E76">
      <w:pPr>
        <w:pStyle w:val="Odsekzoznamu"/>
        <w:numPr>
          <w:ilvl w:val="0"/>
          <w:numId w:val="1"/>
        </w:numPr>
        <w:jc w:val="both"/>
      </w:pPr>
      <w:r>
        <w:t>Je možné spolu s parkovacími automatmi dodať aj mobilnú aplikáciu (</w:t>
      </w:r>
      <w:proofErr w:type="spellStart"/>
      <w:r>
        <w:t>android</w:t>
      </w:r>
      <w:proofErr w:type="spellEnd"/>
      <w:r>
        <w:t xml:space="preserve">, </w:t>
      </w:r>
      <w:proofErr w:type="spellStart"/>
      <w:r>
        <w:t>iOS</w:t>
      </w:r>
      <w:proofErr w:type="spellEnd"/>
      <w:r>
        <w:t>, iný operačný systém)?</w:t>
      </w:r>
    </w:p>
    <w:p w14:paraId="4BC1199A" w14:textId="5F6E1A4B" w:rsidR="00280699" w:rsidRDefault="00280699" w:rsidP="00280699">
      <w:pPr>
        <w:pStyle w:val="Odsekzoznamu"/>
        <w:numPr>
          <w:ilvl w:val="0"/>
          <w:numId w:val="1"/>
        </w:numPr>
        <w:jc w:val="both"/>
      </w:pPr>
      <w:r>
        <w:t>Sú platby cez mobilnú aplikáciu rozúčtovávané medzi banku/platobnú bránu a poskytovateľa aplikácie? Aká je výška poplatku vyjadrená v percentách z ceny platby – aspoň orientačne?</w:t>
      </w:r>
    </w:p>
    <w:p w14:paraId="1DF3857E" w14:textId="450EF413" w:rsidR="00280699" w:rsidRDefault="00280699" w:rsidP="00280699">
      <w:pPr>
        <w:pStyle w:val="Odsekzoznamu"/>
        <w:numPr>
          <w:ilvl w:val="0"/>
          <w:numId w:val="1"/>
        </w:numPr>
        <w:jc w:val="both"/>
      </w:pPr>
      <w:r>
        <w:t xml:space="preserve">Umožňuje parkovací automat aj iné služby napr. predaj lístkov do mestského divadla, knižnice, mestské akcie, </w:t>
      </w:r>
      <w:proofErr w:type="spellStart"/>
      <w:r>
        <w:t>mhd</w:t>
      </w:r>
      <w:proofErr w:type="spellEnd"/>
      <w:r>
        <w:t xml:space="preserve"> a pod? Ako sú riešené poplatky za takéto služby?</w:t>
      </w:r>
    </w:p>
    <w:p w14:paraId="69B646B4" w14:textId="09878B13" w:rsidR="00957806" w:rsidRDefault="00957806" w:rsidP="00280699">
      <w:pPr>
        <w:pStyle w:val="Odsekzoznamu"/>
        <w:numPr>
          <w:ilvl w:val="0"/>
          <w:numId w:val="1"/>
        </w:numPr>
        <w:jc w:val="both"/>
      </w:pPr>
      <w:r>
        <w:t>Aké sú funkcionality parkovacieho automatu, ktoré je možné považovať za štandardné?</w:t>
      </w:r>
    </w:p>
    <w:p w14:paraId="2FEF09E1" w14:textId="26129835" w:rsidR="00957806" w:rsidRDefault="00957806" w:rsidP="00280699">
      <w:pPr>
        <w:pStyle w:val="Odsekzoznamu"/>
        <w:numPr>
          <w:ilvl w:val="0"/>
          <w:numId w:val="1"/>
        </w:numPr>
        <w:jc w:val="both"/>
      </w:pPr>
      <w:r>
        <w:t>Aké sú nadštandardné funkcionality parkovacieho automatu?</w:t>
      </w:r>
    </w:p>
    <w:p w14:paraId="3265EE44" w14:textId="4134249C" w:rsidR="00957806" w:rsidRDefault="00957806" w:rsidP="00280699">
      <w:pPr>
        <w:pStyle w:val="Odsekzoznamu"/>
        <w:numPr>
          <w:ilvl w:val="0"/>
          <w:numId w:val="1"/>
        </w:numPr>
        <w:jc w:val="both"/>
      </w:pPr>
      <w:r>
        <w:t>Sú Vami označené štandardné funkcionality parkovacieho automatu poskytované aspoň troma odlišnými výrobcami parkovacích automatov?</w:t>
      </w:r>
    </w:p>
    <w:p w14:paraId="71A97510" w14:textId="63EE2ED2" w:rsidR="00957806" w:rsidRDefault="00957806" w:rsidP="00280699">
      <w:pPr>
        <w:pStyle w:val="Odsekzoznamu"/>
        <w:numPr>
          <w:ilvl w:val="0"/>
          <w:numId w:val="1"/>
        </w:numPr>
        <w:jc w:val="both"/>
      </w:pPr>
      <w:r>
        <w:t>Sú Vami označené nadštandardné funkcionality parkovacieho automatu poskytované aspoň troma odlišnými výrobcami parkovacích automatov?</w:t>
      </w:r>
    </w:p>
    <w:p w14:paraId="43871F6E" w14:textId="01B3F692" w:rsidR="00957806" w:rsidRDefault="00957806" w:rsidP="00280699">
      <w:pPr>
        <w:pStyle w:val="Odsekzoznamu"/>
        <w:numPr>
          <w:ilvl w:val="0"/>
          <w:numId w:val="1"/>
        </w:numPr>
        <w:jc w:val="both"/>
      </w:pPr>
      <w:r>
        <w:t xml:space="preserve">Uveďte názvy a typy konkrétnych výrobkov, ktoré spĺňajú „štandard“ a „nadštandard“. </w:t>
      </w:r>
    </w:p>
    <w:p w14:paraId="7006F882" w14:textId="26C3BFB7" w:rsidR="00957806" w:rsidRDefault="00957806" w:rsidP="00280699">
      <w:pPr>
        <w:pStyle w:val="Odsekzoznamu"/>
        <w:numPr>
          <w:ilvl w:val="0"/>
          <w:numId w:val="1"/>
        </w:numPr>
        <w:jc w:val="both"/>
      </w:pPr>
      <w:r>
        <w:t xml:space="preserve">Poskytujú parkovacie automaty dáta v podobe </w:t>
      </w:r>
      <w:proofErr w:type="spellStart"/>
      <w:r>
        <w:t>open</w:t>
      </w:r>
      <w:proofErr w:type="spellEnd"/>
      <w:r>
        <w:t xml:space="preserve"> dát – napr. cez štandardný </w:t>
      </w:r>
      <w:proofErr w:type="spellStart"/>
      <w:r>
        <w:t>open</w:t>
      </w:r>
      <w:proofErr w:type="spellEnd"/>
      <w:r>
        <w:t xml:space="preserve"> </w:t>
      </w:r>
      <w:proofErr w:type="spellStart"/>
      <w:r>
        <w:t>office</w:t>
      </w:r>
      <w:proofErr w:type="spellEnd"/>
      <w:r>
        <w:t xml:space="preserve"> formát?</w:t>
      </w:r>
    </w:p>
    <w:p w14:paraId="3E9EA5B9" w14:textId="794F9C49" w:rsidR="00957806" w:rsidRDefault="00957806" w:rsidP="00280699">
      <w:pPr>
        <w:pStyle w:val="Odsekzoznamu"/>
        <w:numPr>
          <w:ilvl w:val="0"/>
          <w:numId w:val="1"/>
        </w:numPr>
        <w:jc w:val="both"/>
      </w:pPr>
      <w:r>
        <w:t xml:space="preserve">Sú parkovacie automaty navzájom prepojené, </w:t>
      </w:r>
      <w:proofErr w:type="spellStart"/>
      <w:r>
        <w:t>t.j</w:t>
      </w:r>
      <w:proofErr w:type="spellEnd"/>
      <w:r>
        <w:t>. umožňujú zohľadnenie zón alebo parkovanie na jednu platbu na viacerých lokalitách mesta?</w:t>
      </w:r>
    </w:p>
    <w:p w14:paraId="7E2B9A78" w14:textId="416467DE" w:rsidR="00957806" w:rsidRDefault="00957806" w:rsidP="00280699">
      <w:pPr>
        <w:pStyle w:val="Odsekzoznamu"/>
        <w:numPr>
          <w:ilvl w:val="0"/>
          <w:numId w:val="1"/>
        </w:numPr>
        <w:jc w:val="both"/>
      </w:pPr>
      <w:r>
        <w:t xml:space="preserve">Sú parkovacie automaty schopné komunikovať aj s inými parkovacími automatmi v prípade, že by verejný obstarávateľ zadával obdobnú zákazku v budúcnosti a výherca v súťaži by bol iný? Ako sa takéto prepojenie viacerých výrobkov iných výrobcov dá riešiť? </w:t>
      </w:r>
    </w:p>
    <w:p w14:paraId="43F1861E" w14:textId="270D2943" w:rsidR="00957806" w:rsidRDefault="00957806" w:rsidP="00957806">
      <w:pPr>
        <w:jc w:val="both"/>
      </w:pPr>
    </w:p>
    <w:p w14:paraId="3EF4BA32" w14:textId="60DAB0DE" w:rsidR="007B12DF" w:rsidRDefault="007B12DF" w:rsidP="00957806">
      <w:pPr>
        <w:jc w:val="both"/>
      </w:pPr>
      <w:r>
        <w:t xml:space="preserve">Ďalšie otázky môžu vzniknúť priamo na TK. </w:t>
      </w:r>
    </w:p>
    <w:p w14:paraId="40C01C93" w14:textId="25150AC5" w:rsidR="00233C81" w:rsidRDefault="00233C81" w:rsidP="00957806">
      <w:pPr>
        <w:jc w:val="both"/>
      </w:pPr>
    </w:p>
    <w:p w14:paraId="334AF977" w14:textId="5E511229" w:rsidR="00233C81" w:rsidRDefault="00233C81" w:rsidP="00957806">
      <w:pPr>
        <w:jc w:val="both"/>
      </w:pPr>
    </w:p>
    <w:p w14:paraId="6732971E" w14:textId="1ADC4D24" w:rsidR="00233C81" w:rsidRDefault="00233C81" w:rsidP="00957806">
      <w:pPr>
        <w:jc w:val="both"/>
      </w:pPr>
    </w:p>
    <w:p w14:paraId="10881F7E" w14:textId="512CEE34" w:rsidR="00233C81" w:rsidRDefault="00233C81" w:rsidP="00957806">
      <w:pPr>
        <w:jc w:val="both"/>
      </w:pPr>
    </w:p>
    <w:p w14:paraId="43BB1B08" w14:textId="7C08C916" w:rsidR="00233C81" w:rsidRDefault="00233C81" w:rsidP="00957806">
      <w:pPr>
        <w:jc w:val="both"/>
      </w:pPr>
    </w:p>
    <w:p w14:paraId="78174042" w14:textId="65C975DB" w:rsidR="00233C81" w:rsidRDefault="00233C81" w:rsidP="00233C81">
      <w:pPr>
        <w:jc w:val="both"/>
      </w:pPr>
      <w:r>
        <w:t>Príloha č. 2 - Všeobecne záväzné nariadenie mesta č. 2/2021 o dočasnom parkovaní motorových vozidiel na vymedzenom území mesta Topoľčany.</w:t>
      </w:r>
    </w:p>
    <w:sectPr w:rsidR="00233C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746A8" w14:textId="77777777" w:rsidR="0031164C" w:rsidRDefault="0031164C" w:rsidP="00CC77D8">
      <w:pPr>
        <w:spacing w:after="0" w:line="240" w:lineRule="auto"/>
      </w:pPr>
      <w:r>
        <w:separator/>
      </w:r>
    </w:p>
  </w:endnote>
  <w:endnote w:type="continuationSeparator" w:id="0">
    <w:p w14:paraId="2CB9150C" w14:textId="77777777" w:rsidR="0031164C" w:rsidRDefault="0031164C" w:rsidP="00CC7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CB58B" w14:textId="77777777" w:rsidR="0031164C" w:rsidRDefault="0031164C" w:rsidP="00CC77D8">
      <w:pPr>
        <w:spacing w:after="0" w:line="240" w:lineRule="auto"/>
      </w:pPr>
      <w:r>
        <w:separator/>
      </w:r>
    </w:p>
  </w:footnote>
  <w:footnote w:type="continuationSeparator" w:id="0">
    <w:p w14:paraId="584491AF" w14:textId="77777777" w:rsidR="0031164C" w:rsidRDefault="0031164C" w:rsidP="00CC77D8">
      <w:pPr>
        <w:spacing w:after="0" w:line="240" w:lineRule="auto"/>
      </w:pPr>
      <w:r>
        <w:continuationSeparator/>
      </w:r>
    </w:p>
  </w:footnote>
  <w:footnote w:id="1">
    <w:p w14:paraId="361338D4" w14:textId="7EFD4927" w:rsidR="00B8160B" w:rsidRDefault="00B8160B">
      <w:pPr>
        <w:pStyle w:val="Textpoznmkypodiarou"/>
      </w:pPr>
      <w:r>
        <w:rPr>
          <w:rStyle w:val="Odkaznapoznmkupodiarou"/>
        </w:rPr>
        <w:footnoteRef/>
      </w:r>
      <w:r>
        <w:t xml:space="preserve"> Verejný obstarávateľ si vyhradzuje právo zmeniť dátum, čas a prípadne aj miesto vedenia TK. O zmene budú záujemcovia o TK, ktorí prejavia záujem o účasť na TK vopred informovaní na poskytnuté emailové adresy. </w:t>
      </w:r>
    </w:p>
  </w:footnote>
  <w:footnote w:id="2">
    <w:p w14:paraId="7F090733" w14:textId="02C1F9AC" w:rsidR="00CC77D8" w:rsidRDefault="00CC77D8">
      <w:pPr>
        <w:pStyle w:val="Textpoznmkypodiarou"/>
      </w:pPr>
      <w:r>
        <w:rPr>
          <w:rStyle w:val="Odkaznapoznmkupodiarou"/>
        </w:rPr>
        <w:footnoteRef/>
      </w:r>
      <w:r>
        <w:t xml:space="preserve"> Predloží plnomocenstvo od štatutárneho orgánu na účasť na TK </w:t>
      </w:r>
      <w:r w:rsidR="001E3FE3">
        <w:t>a konanie za hospodársky subjekt v rámci TK.</w:t>
      </w:r>
    </w:p>
  </w:footnote>
  <w:footnote w:id="3">
    <w:p w14:paraId="48645C17" w14:textId="54C634B4" w:rsidR="001E3FE3" w:rsidRDefault="001E3FE3" w:rsidP="001E3FE3">
      <w:pPr>
        <w:pStyle w:val="Textpoznmkypodiarou"/>
        <w:jc w:val="both"/>
      </w:pPr>
      <w:r>
        <w:rPr>
          <w:rStyle w:val="Odkaznapoznmkupodiarou"/>
        </w:rPr>
        <w:footnoteRef/>
      </w:r>
      <w:r>
        <w:t xml:space="preserve"> Najmä § 25 a 40 ods. 7 zákona o verejnom obstarávaní - </w:t>
      </w:r>
      <w:hyperlink r:id="rId1" w:history="1">
        <w:r w:rsidRPr="004A506F">
          <w:rPr>
            <w:rStyle w:val="Hypertextovprepojenie"/>
          </w:rPr>
          <w:t>https://www.slov-lex.sk/pravne-predpisy/SK/ZZ/2015/343/20210506</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7720D"/>
    <w:multiLevelType w:val="hybridMultilevel"/>
    <w:tmpl w:val="55BA1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BAB0702"/>
    <w:multiLevelType w:val="hybridMultilevel"/>
    <w:tmpl w:val="7F820E88"/>
    <w:lvl w:ilvl="0" w:tplc="C3FE5FB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E76"/>
    <w:rsid w:val="00001FC1"/>
    <w:rsid w:val="000044E0"/>
    <w:rsid w:val="00015526"/>
    <w:rsid w:val="000362FD"/>
    <w:rsid w:val="00045131"/>
    <w:rsid w:val="00083C70"/>
    <w:rsid w:val="001E3FE3"/>
    <w:rsid w:val="00233C81"/>
    <w:rsid w:val="00280699"/>
    <w:rsid w:val="002D75A1"/>
    <w:rsid w:val="002E7567"/>
    <w:rsid w:val="0031164C"/>
    <w:rsid w:val="003159E0"/>
    <w:rsid w:val="00332311"/>
    <w:rsid w:val="003D2073"/>
    <w:rsid w:val="003F0681"/>
    <w:rsid w:val="00486D7B"/>
    <w:rsid w:val="0049167B"/>
    <w:rsid w:val="005A59AD"/>
    <w:rsid w:val="00676B62"/>
    <w:rsid w:val="006E37AA"/>
    <w:rsid w:val="007B12DF"/>
    <w:rsid w:val="0083276E"/>
    <w:rsid w:val="008C3EBA"/>
    <w:rsid w:val="008F5BCD"/>
    <w:rsid w:val="00957806"/>
    <w:rsid w:val="009617B9"/>
    <w:rsid w:val="00977EBE"/>
    <w:rsid w:val="009E1154"/>
    <w:rsid w:val="00A47478"/>
    <w:rsid w:val="00B542EC"/>
    <w:rsid w:val="00B8160B"/>
    <w:rsid w:val="00BB4A31"/>
    <w:rsid w:val="00BF44CF"/>
    <w:rsid w:val="00CC77D8"/>
    <w:rsid w:val="00D0403B"/>
    <w:rsid w:val="00D06FB4"/>
    <w:rsid w:val="00D60E76"/>
    <w:rsid w:val="00E12B0E"/>
    <w:rsid w:val="00E22C90"/>
    <w:rsid w:val="00E80A59"/>
    <w:rsid w:val="00ED70BE"/>
    <w:rsid w:val="00F2247A"/>
    <w:rsid w:val="00F31D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D703"/>
  <w15:chartTrackingRefBased/>
  <w15:docId w15:val="{7BA4B348-67DA-4CB1-A31C-0EFD38D9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CC7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C77D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C77D8"/>
    <w:rPr>
      <w:sz w:val="20"/>
      <w:szCs w:val="20"/>
    </w:rPr>
  </w:style>
  <w:style w:type="character" w:styleId="Odkaznapoznmkupodiarou">
    <w:name w:val="footnote reference"/>
    <w:basedOn w:val="Predvolenpsmoodseku"/>
    <w:uiPriority w:val="99"/>
    <w:semiHidden/>
    <w:unhideWhenUsed/>
    <w:rsid w:val="00CC77D8"/>
    <w:rPr>
      <w:vertAlign w:val="superscript"/>
    </w:rPr>
  </w:style>
  <w:style w:type="character" w:styleId="Hypertextovprepojenie">
    <w:name w:val="Hyperlink"/>
    <w:basedOn w:val="Predvolenpsmoodseku"/>
    <w:uiPriority w:val="99"/>
    <w:unhideWhenUsed/>
    <w:rsid w:val="001E3FE3"/>
    <w:rPr>
      <w:color w:val="0563C1" w:themeColor="hyperlink"/>
      <w:u w:val="single"/>
    </w:rPr>
  </w:style>
  <w:style w:type="character" w:customStyle="1" w:styleId="Nevyrieenzmienka1">
    <w:name w:val="Nevyriešená zmienka1"/>
    <w:basedOn w:val="Predvolenpsmoodseku"/>
    <w:uiPriority w:val="99"/>
    <w:semiHidden/>
    <w:unhideWhenUsed/>
    <w:rsid w:val="001E3FE3"/>
    <w:rPr>
      <w:color w:val="605E5C"/>
      <w:shd w:val="clear" w:color="auto" w:fill="E1DFDD"/>
    </w:rPr>
  </w:style>
  <w:style w:type="paragraph" w:styleId="Odsekzoznamu">
    <w:name w:val="List Paragraph"/>
    <w:basedOn w:val="Normlny"/>
    <w:uiPriority w:val="34"/>
    <w:qFormat/>
    <w:rsid w:val="00B81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15/343/20210506"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9CE14-5931-4940-A159-687CFCEA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1180</Words>
  <Characters>6730</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 Bazala</dc:creator>
  <cp:keywords/>
  <dc:description/>
  <cp:lastModifiedBy>JUDr. Radoslav Bazala</cp:lastModifiedBy>
  <cp:revision>3</cp:revision>
  <dcterms:created xsi:type="dcterms:W3CDTF">2021-06-11T05:46:00Z</dcterms:created>
  <dcterms:modified xsi:type="dcterms:W3CDTF">2021-06-11T05:48:00Z</dcterms:modified>
</cp:coreProperties>
</file>